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1782A225" w:rsidR="00A160B2" w:rsidRDefault="006A5CCA" w:rsidP="006C3150">
            <w:pPr>
              <w:pStyle w:val="Heading1"/>
              <w:outlineLvl w:val="0"/>
            </w:pPr>
            <w:r>
              <w:t xml:space="preserve">Governance, Audit, Risk Management &amp; Standards </w:t>
            </w:r>
            <w:r w:rsidR="00A160B2">
              <w:t>Committee</w:t>
            </w:r>
          </w:p>
          <w:p w14:paraId="55A88F66" w14:textId="77777777" w:rsidR="00A160B2" w:rsidRPr="00A160B2" w:rsidRDefault="00A160B2" w:rsidP="006C3150">
            <w:pPr>
              <w:pStyle w:val="Heading1"/>
              <w:outlineLvl w:val="0"/>
              <w:rPr>
                <w:color w:val="0000FF"/>
                <w:szCs w:val="24"/>
              </w:rPr>
            </w:pPr>
            <w:r w:rsidRPr="00A160B2">
              <w:rPr>
                <w:color w:val="0000FF"/>
              </w:rPr>
              <w:t xml:space="preserve">(Non-Executive) </w:t>
            </w: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0BE28DAD" w:rsidR="00A160B2" w:rsidRDefault="006A5CCA" w:rsidP="006C3150">
            <w:pPr>
              <w:pStyle w:val="Infotext"/>
              <w:rPr>
                <w:rFonts w:cs="Arial"/>
              </w:rPr>
            </w:pPr>
            <w:r>
              <w:rPr>
                <w:rFonts w:cs="Arial"/>
              </w:rPr>
              <w:t>02/08/22</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5EBC3009" w:rsidR="00A160B2" w:rsidRDefault="006A5CCA" w:rsidP="006C3150">
            <w:pPr>
              <w:pStyle w:val="Infotext"/>
              <w:rPr>
                <w:rFonts w:cs="Arial"/>
              </w:rPr>
            </w:pPr>
            <w:r>
              <w:rPr>
                <w:rFonts w:cs="Arial"/>
              </w:rPr>
              <w:t>GARMS Committee Terms of Reference</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460B0F58" w:rsidR="00A160B2" w:rsidRDefault="006A5CCA" w:rsidP="006C3150">
            <w:pPr>
              <w:pStyle w:val="Infotext"/>
              <w:rPr>
                <w:rFonts w:cs="Arial"/>
              </w:rPr>
            </w:pPr>
            <w:r>
              <w:rPr>
                <w:rFonts w:cs="Arial"/>
              </w:rPr>
              <w:t>Dawn Calvert – Director of Finance &amp;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59D386F1" w:rsidR="00A160B2" w:rsidRDefault="00A160B2" w:rsidP="006C3150">
            <w:pPr>
              <w:pStyle w:val="Infotext"/>
              <w:rPr>
                <w:rFonts w:cs="Arial"/>
              </w:rPr>
            </w:pPr>
            <w:r>
              <w:rPr>
                <w:rFonts w:cs="Arial"/>
              </w:rPr>
              <w:t>No</w:t>
            </w:r>
          </w:p>
          <w:p w14:paraId="57D61F9A" w14:textId="77777777" w:rsidR="00A160B2" w:rsidRDefault="00A160B2" w:rsidP="006C3150">
            <w:pPr>
              <w:pStyle w:val="Infotext"/>
              <w:rPr>
                <w:rFonts w:cs="Arial"/>
              </w:rPr>
            </w:pPr>
            <w:r>
              <w:rPr>
                <w:rFonts w:cs="Arial"/>
              </w:rPr>
              <w:t xml:space="preserve">(If </w:t>
            </w:r>
            <w:proofErr w:type="gramStart"/>
            <w:r>
              <w:rPr>
                <w:rFonts w:cs="Arial"/>
              </w:rPr>
              <w:t>Yes</w:t>
            </w:r>
            <w:proofErr w:type="gramEnd"/>
            <w:r>
              <w:rPr>
                <w:rFonts w:cs="Arial"/>
              </w:rPr>
              <w:t xml:space="preserve">, </w:t>
            </w:r>
            <w:proofErr w:type="spellStart"/>
            <w:r>
              <w:rPr>
                <w:rFonts w:cs="Arial"/>
              </w:rPr>
              <w:t>ie</w:t>
            </w:r>
            <w:proofErr w:type="spellEnd"/>
            <w:r>
              <w:rPr>
                <w:rFonts w:cs="Arial"/>
              </w:rPr>
              <w:t xml:space="preserve"> report is Private &amp; Confidential, state grounds – see Access to Information Procedure Rule 12.4 – advice can be sought from Dem Services)</w:t>
            </w:r>
          </w:p>
          <w:p w14:paraId="4C873B59" w14:textId="77777777" w:rsidR="00A160B2" w:rsidRDefault="00A160B2" w:rsidP="006C3150">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7B906090" w14:textId="3464C3A7" w:rsidR="00A160B2" w:rsidRDefault="006A5CCA" w:rsidP="006C3150">
            <w:pPr>
              <w:pStyle w:val="Infotext"/>
              <w:rPr>
                <w:rFonts w:cs="Arial"/>
                <w:szCs w:val="24"/>
              </w:rPr>
            </w:pPr>
            <w:r>
              <w:rPr>
                <w:rFonts w:cs="Arial"/>
                <w:szCs w:val="24"/>
              </w:rPr>
              <w:t>All</w:t>
            </w:r>
          </w:p>
          <w:p w14:paraId="6CD568AC" w14:textId="18B2AEF8" w:rsidR="00A160B2" w:rsidRDefault="00A160B2" w:rsidP="006C3150">
            <w:pPr>
              <w:pStyle w:val="Infotext"/>
            </w:pP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4C232B02" w14:textId="0A6F64F4" w:rsidR="00A160B2" w:rsidRDefault="006A5CCA" w:rsidP="006C3150">
            <w:pPr>
              <w:pStyle w:val="Infotext"/>
            </w:pPr>
            <w:r>
              <w:t>Appendix 1 – GARMS Committee Terms of Reference</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4124675E" w14:textId="04449306" w:rsidR="00A160B2" w:rsidRDefault="00A160B2" w:rsidP="00A160B2">
            <w:pPr>
              <w:rPr>
                <w:color w:val="0000FF"/>
              </w:rPr>
            </w:pPr>
            <w:r w:rsidRPr="006A5CCA">
              <w:t>This report sets out</w:t>
            </w:r>
            <w:r w:rsidR="006A5CCA">
              <w:t xml:space="preserve"> the GARMS Committee’s Terms of Reference</w:t>
            </w:r>
            <w:r w:rsidR="00D00A2D">
              <w:t xml:space="preserve"> for information</w:t>
            </w:r>
            <w:r w:rsidR="00941812">
              <w:t>.</w:t>
            </w:r>
            <w:r w:rsidR="00D00A2D">
              <w:t xml:space="preserve">  </w:t>
            </w:r>
            <w:r w:rsidR="00D00A2D">
              <w:t xml:space="preserve">The purpose of this report is to bring to the attention of the new members of the Committee the Committee’s Terms of Refence and to act as a reminder to those who have previously </w:t>
            </w:r>
            <w:r w:rsidR="00D00A2D">
              <w:t>s</w:t>
            </w:r>
            <w:r w:rsidR="00D00A2D">
              <w:t>erved on the Committee.</w:t>
            </w:r>
            <w:r w:rsidR="006A5CCA">
              <w:t xml:space="preserve"> </w:t>
            </w:r>
          </w:p>
          <w:p w14:paraId="2C9E4A81" w14:textId="77777777" w:rsidR="00A160B2" w:rsidRDefault="00A160B2" w:rsidP="00A160B2">
            <w:pPr>
              <w:rPr>
                <w:rFonts w:ascii="Arial Bold" w:hAnsi="Arial Bold"/>
                <w:b/>
                <w:sz w:val="28"/>
              </w:rPr>
            </w:pPr>
          </w:p>
          <w:p w14:paraId="714CBDEE" w14:textId="06179BA3" w:rsidR="00A160B2" w:rsidRDefault="00A160B2" w:rsidP="00A160B2">
            <w:r>
              <w:t xml:space="preserve"> </w:t>
            </w:r>
          </w:p>
        </w:tc>
      </w:tr>
    </w:tbl>
    <w:p w14:paraId="550557D4" w14:textId="77777777" w:rsidR="006A5CCA" w:rsidRDefault="006A5CCA" w:rsidP="00A160B2">
      <w:pPr>
        <w:pStyle w:val="Heading2"/>
      </w:pPr>
    </w:p>
    <w:p w14:paraId="3914AC43" w14:textId="77777777" w:rsidR="006A5CCA" w:rsidRDefault="006A5CCA">
      <w:pPr>
        <w:rPr>
          <w:rFonts w:ascii="Arial Black" w:hAnsi="Arial Black" w:cs="Arial"/>
          <w:bCs/>
          <w:sz w:val="32"/>
          <w:szCs w:val="32"/>
        </w:rPr>
      </w:pPr>
      <w:r>
        <w:br w:type="page"/>
      </w:r>
    </w:p>
    <w:p w14:paraId="53DC7DE2" w14:textId="52BA783C" w:rsidR="002A2389" w:rsidRDefault="002A2389" w:rsidP="00A160B2">
      <w:pPr>
        <w:pStyle w:val="Heading2"/>
      </w:pPr>
      <w:r>
        <w:lastRenderedPageBreak/>
        <w:t>Section 2 – Report</w:t>
      </w:r>
    </w:p>
    <w:p w14:paraId="56A367BA" w14:textId="3D2AF343" w:rsidR="006A5CCA" w:rsidRDefault="006C422C" w:rsidP="006A5CCA">
      <w:pPr>
        <w:rPr>
          <w:b/>
          <w:bCs/>
        </w:rPr>
      </w:pPr>
      <w:r w:rsidRPr="006C422C">
        <w:rPr>
          <w:b/>
          <w:bCs/>
        </w:rPr>
        <w:t>Introduction</w:t>
      </w:r>
    </w:p>
    <w:p w14:paraId="33C31B85" w14:textId="5F039069" w:rsidR="006C422C" w:rsidRDefault="006C422C" w:rsidP="006A5CCA">
      <w:pPr>
        <w:rPr>
          <w:b/>
          <w:bCs/>
        </w:rPr>
      </w:pPr>
    </w:p>
    <w:p w14:paraId="26C7F6D8" w14:textId="1E1688AC" w:rsidR="006C422C" w:rsidRDefault="006C422C" w:rsidP="006A5CCA">
      <w:r w:rsidRPr="006C422C">
        <w:t>2.1</w:t>
      </w:r>
      <w:r w:rsidRPr="006C422C">
        <w:tab/>
      </w:r>
      <w:r>
        <w:t xml:space="preserve">Following the local elections in May the Governance, Audit, Risk </w:t>
      </w:r>
      <w:r>
        <w:tab/>
        <w:t xml:space="preserve">Management and Standards Committee has a new Chair and several </w:t>
      </w:r>
      <w:r>
        <w:tab/>
        <w:t>new members of the Committee.</w:t>
      </w:r>
    </w:p>
    <w:p w14:paraId="6185FCB5" w14:textId="6C3C9DDE" w:rsidR="006C422C" w:rsidRDefault="006C422C" w:rsidP="006A5CCA"/>
    <w:p w14:paraId="6C813FFD" w14:textId="62998A18" w:rsidR="006C422C" w:rsidRPr="006C422C" w:rsidRDefault="006C422C" w:rsidP="006A5CCA">
      <w:r>
        <w:t>2.2</w:t>
      </w:r>
      <w:r>
        <w:tab/>
        <w:t xml:space="preserve">The purpose of this report is to bring to the attention of the new </w:t>
      </w:r>
      <w:r>
        <w:tab/>
        <w:t xml:space="preserve">members of the Committee the Committee’s Terms of Refence </w:t>
      </w:r>
      <w:r>
        <w:tab/>
        <w:t xml:space="preserve">(Appendix 1) and to act as a reminder to those who have previously </w:t>
      </w:r>
      <w:r>
        <w:tab/>
        <w:t>served on the Committee.</w:t>
      </w:r>
    </w:p>
    <w:p w14:paraId="4C7A3D22" w14:textId="08881726" w:rsidR="006C422C" w:rsidRDefault="006C422C" w:rsidP="006A5CCA">
      <w:pPr>
        <w:rPr>
          <w:b/>
          <w:bCs/>
        </w:rPr>
      </w:pPr>
    </w:p>
    <w:p w14:paraId="67ECBF74" w14:textId="1E8E1641" w:rsidR="006C422C" w:rsidRDefault="006C422C" w:rsidP="006A5CCA">
      <w:pPr>
        <w:rPr>
          <w:b/>
          <w:bCs/>
        </w:rPr>
      </w:pPr>
      <w:r>
        <w:rPr>
          <w:b/>
          <w:bCs/>
        </w:rPr>
        <w:t>The Committee’s Terms of Reference</w:t>
      </w:r>
    </w:p>
    <w:p w14:paraId="28D855B6" w14:textId="77777777" w:rsidR="006C422C" w:rsidRPr="006C422C" w:rsidRDefault="006C422C" w:rsidP="006A5CCA">
      <w:pPr>
        <w:rPr>
          <w:b/>
          <w:bCs/>
        </w:rPr>
      </w:pPr>
    </w:p>
    <w:p w14:paraId="064766BC" w14:textId="16010910" w:rsidR="006A5CCA" w:rsidRDefault="003804ED" w:rsidP="006C422C">
      <w:r>
        <w:t>2.</w:t>
      </w:r>
      <w:r w:rsidR="006C422C">
        <w:t>3</w:t>
      </w:r>
      <w:r>
        <w:t xml:space="preserve"> </w:t>
      </w:r>
      <w:r w:rsidR="006C422C">
        <w:tab/>
      </w:r>
      <w:r>
        <w:t xml:space="preserve">The remit for the Governance, Audit, Risk Management </w:t>
      </w:r>
      <w:r w:rsidR="006C422C">
        <w:t xml:space="preserve">and </w:t>
      </w:r>
      <w:r>
        <w:t xml:space="preserve">Standards </w:t>
      </w:r>
      <w:r w:rsidR="006C422C">
        <w:tab/>
      </w:r>
      <w:r>
        <w:t xml:space="preserve">Committee </w:t>
      </w:r>
      <w:r w:rsidR="006C422C">
        <w:t xml:space="preserve">is set out in the Committee’s Terms of Reference which </w:t>
      </w:r>
      <w:r w:rsidR="006C422C">
        <w:tab/>
        <w:t>was last reviewed in 2018/19.</w:t>
      </w:r>
    </w:p>
    <w:p w14:paraId="5C961BCB" w14:textId="05B5120B" w:rsidR="006C422C" w:rsidRDefault="006C422C" w:rsidP="006C422C"/>
    <w:p w14:paraId="7809147F" w14:textId="0AED035D" w:rsidR="006C422C" w:rsidRPr="00D840E2" w:rsidRDefault="006C422C" w:rsidP="006C422C">
      <w:pPr>
        <w:pStyle w:val="Pa12"/>
        <w:ind w:left="709" w:hanging="709"/>
        <w:rPr>
          <w:rFonts w:ascii="Arial" w:hAnsi="Arial" w:cs="Arial"/>
          <w:color w:val="000000"/>
        </w:rPr>
      </w:pPr>
      <w:r w:rsidRPr="006C422C">
        <w:rPr>
          <w:rFonts w:ascii="Arial" w:hAnsi="Arial" w:cs="Arial"/>
        </w:rPr>
        <w:t>2.</w:t>
      </w:r>
      <w:r>
        <w:rPr>
          <w:rFonts w:ascii="Arial" w:hAnsi="Arial" w:cs="Arial"/>
        </w:rPr>
        <w:t>4</w:t>
      </w:r>
      <w:r w:rsidRPr="006C422C">
        <w:rPr>
          <w:rFonts w:ascii="Arial" w:hAnsi="Arial" w:cs="Arial"/>
        </w:rPr>
        <w:tab/>
      </w:r>
      <w:r>
        <w:rPr>
          <w:rFonts w:ascii="Arial" w:hAnsi="Arial" w:cs="Arial"/>
        </w:rPr>
        <w:t>The Terms of Reference states that t</w:t>
      </w:r>
      <w:r w:rsidRPr="00D840E2">
        <w:rPr>
          <w:rFonts w:ascii="Arial" w:hAnsi="Arial" w:cs="Arial"/>
          <w:color w:val="000000"/>
        </w:rPr>
        <w:t xml:space="preserve">he Governance, Audit, Risk Management and Standards Committee is a key component of Harrow Council’s corporate governance. It provides an independent and high-level focus on the audit, assurance and reporting arrangements that underpin good governance and financial standards. </w:t>
      </w:r>
    </w:p>
    <w:p w14:paraId="0F643F74" w14:textId="77777777" w:rsidR="006C422C" w:rsidRDefault="006C422C" w:rsidP="006C422C">
      <w:pPr>
        <w:pStyle w:val="Pa12"/>
        <w:ind w:left="709" w:hanging="709"/>
        <w:rPr>
          <w:rFonts w:ascii="Arial" w:hAnsi="Arial" w:cs="Arial"/>
          <w:color w:val="000000"/>
        </w:rPr>
      </w:pPr>
    </w:p>
    <w:p w14:paraId="13E30D99" w14:textId="690F821E" w:rsidR="006C422C" w:rsidRDefault="006C422C" w:rsidP="006C422C">
      <w:pPr>
        <w:pStyle w:val="Pa12"/>
        <w:ind w:left="709" w:hanging="709"/>
        <w:rPr>
          <w:rFonts w:ascii="Arial" w:hAnsi="Arial" w:cs="Arial"/>
          <w:color w:val="000000"/>
        </w:rPr>
      </w:pPr>
      <w:r>
        <w:rPr>
          <w:rFonts w:ascii="Arial" w:hAnsi="Arial" w:cs="Arial"/>
          <w:color w:val="000000"/>
        </w:rPr>
        <w:t>2</w:t>
      </w:r>
      <w:r>
        <w:rPr>
          <w:rFonts w:ascii="Arial" w:hAnsi="Arial" w:cs="Arial"/>
          <w:color w:val="000000"/>
        </w:rPr>
        <w:t>.</w:t>
      </w:r>
      <w:r>
        <w:rPr>
          <w:rFonts w:ascii="Arial" w:hAnsi="Arial" w:cs="Arial"/>
          <w:color w:val="000000"/>
        </w:rPr>
        <w:t>5</w:t>
      </w:r>
      <w:r>
        <w:rPr>
          <w:rFonts w:ascii="Arial" w:hAnsi="Arial" w:cs="Arial"/>
          <w:color w:val="000000"/>
        </w:rPr>
        <w:tab/>
      </w:r>
      <w:r w:rsidRPr="00D840E2">
        <w:rPr>
          <w:rFonts w:ascii="Arial" w:hAnsi="Arial" w:cs="Arial"/>
          <w:color w:val="000000"/>
        </w:rPr>
        <w:t xml:space="preserve">The purpose of </w:t>
      </w:r>
      <w:r>
        <w:rPr>
          <w:rFonts w:ascii="Arial" w:hAnsi="Arial" w:cs="Arial"/>
          <w:color w:val="000000"/>
        </w:rPr>
        <w:t xml:space="preserve">the </w:t>
      </w:r>
      <w:r w:rsidRPr="00D840E2">
        <w:rPr>
          <w:rFonts w:ascii="Arial" w:hAnsi="Arial" w:cs="Arial"/>
          <w:color w:val="000000"/>
        </w:rPr>
        <w:t xml:space="preserve">committee is to provide independent assurance to the members of the adequacy of Harrow Council’s governance, risk management and control frameworks and </w:t>
      </w:r>
      <w:r>
        <w:rPr>
          <w:rFonts w:ascii="Arial" w:hAnsi="Arial" w:cs="Arial"/>
          <w:color w:val="000000"/>
        </w:rPr>
        <w:t xml:space="preserve">to </w:t>
      </w:r>
      <w:r w:rsidRPr="00D840E2">
        <w:rPr>
          <w:rFonts w:ascii="Arial" w:hAnsi="Arial" w:cs="Arial"/>
          <w:color w:val="000000"/>
        </w:rPr>
        <w:t>oversee the financial reporting and annual governance processes. It oversees internal audit and external audit, helping to ensure efficient and effective assurance arrangements are in place.</w:t>
      </w:r>
      <w:r>
        <w:rPr>
          <w:rFonts w:ascii="Arial" w:hAnsi="Arial" w:cs="Arial"/>
          <w:color w:val="000000"/>
        </w:rPr>
        <w:t xml:space="preserve"> It also acts as the Standards Committee.</w:t>
      </w:r>
    </w:p>
    <w:p w14:paraId="12FFA0C1" w14:textId="73C6B625" w:rsidR="006C422C" w:rsidRDefault="006C422C" w:rsidP="006C422C">
      <w:pPr>
        <w:rPr>
          <w:lang w:eastAsia="en-GB"/>
        </w:rPr>
      </w:pPr>
    </w:p>
    <w:p w14:paraId="2946A5D3" w14:textId="51358795" w:rsidR="006C422C" w:rsidRDefault="006C422C" w:rsidP="006C422C">
      <w:pPr>
        <w:rPr>
          <w:lang w:eastAsia="en-GB"/>
        </w:rPr>
      </w:pPr>
      <w:r>
        <w:rPr>
          <w:lang w:eastAsia="en-GB"/>
        </w:rPr>
        <w:t>2.6</w:t>
      </w:r>
      <w:r>
        <w:rPr>
          <w:lang w:eastAsia="en-GB"/>
        </w:rPr>
        <w:tab/>
        <w:t>The Committee’s remit covers the following areas:</w:t>
      </w:r>
    </w:p>
    <w:p w14:paraId="0D9F47BB" w14:textId="328F9A4A" w:rsidR="006C422C" w:rsidRDefault="006C422C" w:rsidP="006C422C">
      <w:pPr>
        <w:rPr>
          <w:lang w:eastAsia="en-GB"/>
        </w:rPr>
      </w:pPr>
    </w:p>
    <w:p w14:paraId="4A1EDC0E" w14:textId="1D520F90" w:rsidR="006C422C" w:rsidRDefault="006C422C" w:rsidP="006C422C">
      <w:pPr>
        <w:pStyle w:val="ListParagraph"/>
        <w:numPr>
          <w:ilvl w:val="0"/>
          <w:numId w:val="17"/>
        </w:numPr>
        <w:ind w:left="1380"/>
      </w:pPr>
      <w:r>
        <w:t>Governance</w:t>
      </w:r>
    </w:p>
    <w:p w14:paraId="702BD589" w14:textId="2F6A6850" w:rsidR="006C422C" w:rsidRDefault="00D00A2D" w:rsidP="006C422C">
      <w:pPr>
        <w:pStyle w:val="ListParagraph"/>
        <w:numPr>
          <w:ilvl w:val="0"/>
          <w:numId w:val="17"/>
        </w:numPr>
        <w:ind w:left="1380"/>
      </w:pPr>
      <w:r>
        <w:t>Risk Management</w:t>
      </w:r>
    </w:p>
    <w:p w14:paraId="20309CF5" w14:textId="45EA5E8B" w:rsidR="00D00A2D" w:rsidRDefault="00D00A2D" w:rsidP="006C422C">
      <w:pPr>
        <w:pStyle w:val="ListParagraph"/>
        <w:numPr>
          <w:ilvl w:val="0"/>
          <w:numId w:val="17"/>
        </w:numPr>
        <w:ind w:left="1380"/>
      </w:pPr>
      <w:r>
        <w:t>Countering Fraud and Corruption</w:t>
      </w:r>
    </w:p>
    <w:p w14:paraId="4B39D443" w14:textId="66E61C29" w:rsidR="00D00A2D" w:rsidRDefault="00D00A2D" w:rsidP="006C422C">
      <w:pPr>
        <w:pStyle w:val="ListParagraph"/>
        <w:numPr>
          <w:ilvl w:val="0"/>
          <w:numId w:val="17"/>
        </w:numPr>
        <w:ind w:left="1380"/>
      </w:pPr>
      <w:r>
        <w:t>Internal Audit</w:t>
      </w:r>
    </w:p>
    <w:p w14:paraId="24D32C29" w14:textId="4829804F" w:rsidR="00D00A2D" w:rsidRDefault="00D00A2D" w:rsidP="006C422C">
      <w:pPr>
        <w:pStyle w:val="ListParagraph"/>
        <w:numPr>
          <w:ilvl w:val="0"/>
          <w:numId w:val="17"/>
        </w:numPr>
        <w:ind w:left="1380"/>
      </w:pPr>
      <w:r>
        <w:t>External Audit</w:t>
      </w:r>
    </w:p>
    <w:p w14:paraId="7B2C3E66" w14:textId="60432DFF" w:rsidR="00D00A2D" w:rsidRDefault="00D00A2D" w:rsidP="006C422C">
      <w:pPr>
        <w:pStyle w:val="ListParagraph"/>
        <w:numPr>
          <w:ilvl w:val="0"/>
          <w:numId w:val="17"/>
        </w:numPr>
        <w:ind w:left="1380"/>
      </w:pPr>
      <w:r>
        <w:t>Financial Reporting</w:t>
      </w:r>
    </w:p>
    <w:p w14:paraId="0C486967" w14:textId="77E9AE6E" w:rsidR="00D00A2D" w:rsidRDefault="00D00A2D" w:rsidP="006C422C">
      <w:pPr>
        <w:pStyle w:val="ListParagraph"/>
        <w:numPr>
          <w:ilvl w:val="0"/>
          <w:numId w:val="17"/>
        </w:numPr>
        <w:ind w:left="1380"/>
      </w:pPr>
      <w:r>
        <w:t>Treasury Management</w:t>
      </w:r>
    </w:p>
    <w:p w14:paraId="5AD5A6ED" w14:textId="4ABC836E" w:rsidR="00D00A2D" w:rsidRDefault="00D00A2D" w:rsidP="006C422C">
      <w:pPr>
        <w:pStyle w:val="ListParagraph"/>
        <w:numPr>
          <w:ilvl w:val="0"/>
          <w:numId w:val="17"/>
        </w:numPr>
        <w:ind w:left="1380"/>
      </w:pPr>
      <w:r>
        <w:t>Health &amp; Safety</w:t>
      </w:r>
    </w:p>
    <w:p w14:paraId="3D0AFCFC" w14:textId="5D47C260" w:rsidR="00D00A2D" w:rsidRDefault="00D00A2D" w:rsidP="00D00A2D">
      <w:pPr>
        <w:ind w:left="660"/>
      </w:pPr>
    </w:p>
    <w:p w14:paraId="24F8C8C6" w14:textId="093E5E0B" w:rsidR="00D00A2D" w:rsidRDefault="00D00A2D" w:rsidP="00D00A2D">
      <w:r>
        <w:t>2.7</w:t>
      </w:r>
      <w:r>
        <w:tab/>
        <w:t xml:space="preserve">The Committee’s Terms of Reference also covers its accountability </w:t>
      </w:r>
      <w:r>
        <w:tab/>
        <w:t>arrangements and its role with regards to Standards.</w:t>
      </w:r>
    </w:p>
    <w:p w14:paraId="38AA81B8" w14:textId="003F52C1" w:rsidR="00CA4668" w:rsidRDefault="00CA4668" w:rsidP="00D00A2D"/>
    <w:p w14:paraId="1856609A" w14:textId="079F5637" w:rsidR="00CA4668" w:rsidRDefault="00CA4668" w:rsidP="00D00A2D">
      <w:r>
        <w:t>2.8</w:t>
      </w:r>
      <w:r>
        <w:tab/>
        <w:t>In terms of accountability the Committee is required to:</w:t>
      </w:r>
    </w:p>
    <w:p w14:paraId="06BB37C7" w14:textId="57577ED2" w:rsidR="00CA4668" w:rsidRDefault="00CA4668" w:rsidP="00D00A2D"/>
    <w:p w14:paraId="7077A7E9" w14:textId="77777777" w:rsidR="00CA4668" w:rsidRDefault="00CA4668" w:rsidP="00CA4668">
      <w:pPr>
        <w:pStyle w:val="Pa12"/>
        <w:numPr>
          <w:ilvl w:val="0"/>
          <w:numId w:val="17"/>
        </w:numPr>
        <w:rPr>
          <w:rFonts w:ascii="Arial" w:hAnsi="Arial" w:cs="Arial"/>
          <w:color w:val="000000"/>
        </w:rPr>
      </w:pPr>
      <w:r w:rsidRPr="005875AB">
        <w:rPr>
          <w:rFonts w:ascii="Arial" w:hAnsi="Arial" w:cs="Arial"/>
          <w:color w:val="000000"/>
        </w:rPr>
        <w:t>To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14:paraId="3971861D" w14:textId="77777777" w:rsidR="00CA4668" w:rsidRPr="005875AB" w:rsidRDefault="00CA4668" w:rsidP="00CA4668">
      <w:pPr>
        <w:pStyle w:val="Pa12"/>
        <w:rPr>
          <w:rFonts w:ascii="Arial" w:hAnsi="Arial" w:cs="Arial"/>
          <w:color w:val="000000"/>
        </w:rPr>
      </w:pPr>
      <w:r w:rsidRPr="005875AB">
        <w:rPr>
          <w:rFonts w:ascii="Arial" w:hAnsi="Arial" w:cs="Arial"/>
          <w:color w:val="000000"/>
        </w:rPr>
        <w:lastRenderedPageBreak/>
        <w:t xml:space="preserve"> </w:t>
      </w:r>
    </w:p>
    <w:p w14:paraId="5332D2BD" w14:textId="782D52A2" w:rsidR="00CA4668" w:rsidRDefault="00CA4668" w:rsidP="00CA4668">
      <w:pPr>
        <w:pStyle w:val="Pa12"/>
        <w:numPr>
          <w:ilvl w:val="0"/>
          <w:numId w:val="17"/>
        </w:numPr>
        <w:rPr>
          <w:rFonts w:ascii="Arial" w:hAnsi="Arial" w:cs="Arial"/>
          <w:color w:val="000000"/>
        </w:rPr>
      </w:pPr>
      <w:r w:rsidRPr="005875AB">
        <w:rPr>
          <w:rFonts w:ascii="Arial" w:hAnsi="Arial" w:cs="Arial"/>
          <w:color w:val="000000"/>
        </w:rPr>
        <w:t>To report to full council on a</w:t>
      </w:r>
      <w:r>
        <w:rPr>
          <w:rFonts w:ascii="Arial" w:hAnsi="Arial" w:cs="Arial"/>
          <w:color w:val="000000"/>
        </w:rPr>
        <w:t>n annual</w:t>
      </w:r>
      <w:r w:rsidRPr="005875AB">
        <w:rPr>
          <w:rFonts w:ascii="Arial" w:hAnsi="Arial" w:cs="Arial"/>
          <w:color w:val="000000"/>
        </w:rPr>
        <w:t xml:space="preserve"> basis on the committee’s performance in relation to the terms of reference and the effectiveness of the committee in meeting its purpose. </w:t>
      </w:r>
    </w:p>
    <w:p w14:paraId="5FCB6C15" w14:textId="77777777" w:rsidR="00CA4668" w:rsidRPr="002E0E2E" w:rsidRDefault="00CA4668" w:rsidP="00CA4668"/>
    <w:p w14:paraId="19FE5027" w14:textId="6E7266A4" w:rsidR="00CA4668" w:rsidRDefault="00CA4668" w:rsidP="00CA4668">
      <w:pPr>
        <w:pStyle w:val="Pa12"/>
        <w:numPr>
          <w:ilvl w:val="0"/>
          <w:numId w:val="17"/>
        </w:numPr>
        <w:rPr>
          <w:rFonts w:ascii="Arial" w:hAnsi="Arial" w:cs="Arial"/>
          <w:color w:val="000000"/>
        </w:rPr>
      </w:pPr>
      <w:r w:rsidRPr="005875AB">
        <w:rPr>
          <w:rFonts w:ascii="Arial" w:hAnsi="Arial" w:cs="Arial"/>
          <w:color w:val="000000"/>
        </w:rPr>
        <w:t xml:space="preserve">To publish an annual report on the work of the committee. </w:t>
      </w:r>
    </w:p>
    <w:p w14:paraId="2C720BE4" w14:textId="77777777" w:rsidR="00CA4668" w:rsidRDefault="00CA4668" w:rsidP="00D00A2D"/>
    <w:p w14:paraId="4FDE648C" w14:textId="21C43ECE" w:rsidR="00D00A2D" w:rsidRDefault="00D00A2D" w:rsidP="00D00A2D"/>
    <w:p w14:paraId="00AA268D" w14:textId="7296B458" w:rsidR="00D00A2D" w:rsidRPr="006C422C" w:rsidRDefault="00D00A2D" w:rsidP="00D00A2D">
      <w:r>
        <w:t>2.</w:t>
      </w:r>
      <w:r w:rsidR="00CA4668">
        <w:t>9</w:t>
      </w:r>
      <w:r>
        <w:tab/>
        <w:t xml:space="preserve">Throughout the Terms of Reference the </w:t>
      </w:r>
      <w:r w:rsidR="00941812">
        <w:t xml:space="preserve">main </w:t>
      </w:r>
      <w:r>
        <w:t xml:space="preserve">emphasis is on the </w:t>
      </w:r>
      <w:r w:rsidR="00941812">
        <w:tab/>
      </w:r>
      <w:r>
        <w:t xml:space="preserve">Committee reviewing, </w:t>
      </w:r>
      <w:proofErr w:type="gramStart"/>
      <w:r>
        <w:t>moni</w:t>
      </w:r>
      <w:r w:rsidR="00941812">
        <w:t>toring</w:t>
      </w:r>
      <w:proofErr w:type="gramEnd"/>
      <w:r>
        <w:t xml:space="preserve"> and</w:t>
      </w:r>
      <w:r w:rsidR="00941812">
        <w:t xml:space="preserve"> confirming</w:t>
      </w:r>
      <w:r>
        <w:t xml:space="preserve"> </w:t>
      </w:r>
      <w:r w:rsidR="00941812">
        <w:t xml:space="preserve">information presented </w:t>
      </w:r>
      <w:r w:rsidR="00941812">
        <w:tab/>
        <w:t xml:space="preserve">to it with the aim of seeking assurance on the Council’s governance, </w:t>
      </w:r>
      <w:r w:rsidR="00941812">
        <w:tab/>
        <w:t>risk management and control frameworks.</w:t>
      </w:r>
      <w:r>
        <w:t xml:space="preserve"> </w:t>
      </w:r>
    </w:p>
    <w:p w14:paraId="3469E0D9" w14:textId="13945939" w:rsidR="00213BE7" w:rsidRDefault="00213BE7" w:rsidP="00213BE7">
      <w:pPr>
        <w:pStyle w:val="Heading2"/>
      </w:pPr>
      <w:r>
        <w:t>Legal Implications</w:t>
      </w:r>
    </w:p>
    <w:p w14:paraId="0BC28D81" w14:textId="7FFECDB8" w:rsidR="003D2FFE" w:rsidRPr="00941812" w:rsidRDefault="00941812" w:rsidP="00941812">
      <w:pPr>
        <w:pStyle w:val="Heading4"/>
        <w:keepNext w:val="0"/>
        <w:spacing w:before="360"/>
        <w:rPr>
          <w:sz w:val="24"/>
          <w:szCs w:val="24"/>
        </w:rPr>
      </w:pPr>
      <w:r w:rsidRPr="00941812">
        <w:rPr>
          <w:b w:val="0"/>
          <w:sz w:val="24"/>
          <w:szCs w:val="24"/>
        </w:rPr>
        <w:t>There are no legal implications of this report.</w:t>
      </w:r>
    </w:p>
    <w:p w14:paraId="41BB405D" w14:textId="77777777" w:rsidR="002A2389" w:rsidRDefault="002A2389" w:rsidP="003D2FFE">
      <w:pPr>
        <w:pStyle w:val="Heading2"/>
        <w:spacing w:after="240"/>
      </w:pPr>
      <w:r>
        <w:t>Financial Implications</w:t>
      </w:r>
    </w:p>
    <w:p w14:paraId="750BA539" w14:textId="1BB90EC4" w:rsidR="002A2389" w:rsidRDefault="00941812" w:rsidP="00941812">
      <w:pPr>
        <w:rPr>
          <w:rFonts w:cs="Arial"/>
        </w:rPr>
      </w:pPr>
      <w:r>
        <w:t>There are no financial implications of this report.</w:t>
      </w:r>
    </w:p>
    <w:p w14:paraId="5ACE80EE" w14:textId="25783040" w:rsidR="00C32DAE" w:rsidRDefault="00C32DAE" w:rsidP="003D2FFE">
      <w:pPr>
        <w:pStyle w:val="Heading2"/>
        <w:spacing w:after="240"/>
      </w:pPr>
      <w:r>
        <w:t>Risk Management Implications</w:t>
      </w:r>
    </w:p>
    <w:p w14:paraId="0EDFBFD3" w14:textId="4B8569D4" w:rsidR="00941812" w:rsidRPr="00941812" w:rsidRDefault="00941812" w:rsidP="00941812">
      <w:r>
        <w:t xml:space="preserve">There </w:t>
      </w:r>
      <w:proofErr w:type="gramStart"/>
      <w:r>
        <w:t>are</w:t>
      </w:r>
      <w:proofErr w:type="gramEnd"/>
      <w:r>
        <w:t xml:space="preserve"> no risk management implication of this report.</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21A65355" w14:textId="3E66559D" w:rsidR="00A16271" w:rsidRDefault="00941812" w:rsidP="00941812">
      <w:pPr>
        <w:rPr>
          <w:color w:val="0000FF"/>
        </w:rPr>
      </w:pPr>
      <w:r>
        <w:t>There are no equalities implications of this report.</w:t>
      </w:r>
      <w:r w:rsidR="00A16271" w:rsidRPr="0FF68AB4">
        <w:rPr>
          <w:color w:val="0000FF"/>
        </w:rPr>
        <w:t xml:space="preserve"> </w:t>
      </w:r>
    </w:p>
    <w:p w14:paraId="1EF4F8CB" w14:textId="77777777" w:rsidR="004B4A47" w:rsidRPr="00CD57D8" w:rsidRDefault="00AC0AAB" w:rsidP="00912904">
      <w:pPr>
        <w:pStyle w:val="Heading2"/>
        <w:spacing w:after="240"/>
      </w:pPr>
      <w:r>
        <w:t xml:space="preserve">Council </w:t>
      </w:r>
      <w:r w:rsidR="004B4A47" w:rsidRPr="00CD57D8">
        <w:t>Priorities</w:t>
      </w:r>
    </w:p>
    <w:p w14:paraId="6493B623" w14:textId="5C127BA5" w:rsidR="005031DF" w:rsidRPr="005031DF" w:rsidRDefault="00941812" w:rsidP="00941812">
      <w:pPr>
        <w:rPr>
          <w:rFonts w:ascii="Arial Bold" w:hAnsi="Arial Bold"/>
          <w:b/>
        </w:rPr>
      </w:pPr>
      <w:r>
        <w:rPr>
          <w:rFonts w:cs="Arial"/>
          <w:szCs w:val="24"/>
          <w:lang w:val="en-US"/>
        </w:rPr>
        <w:t>There is no decision in this report and therefore no link to the Council priorities</w:t>
      </w:r>
      <w:r w:rsidR="00626D8B">
        <w:rPr>
          <w:rFonts w:ascii="Arial Bold" w:hAnsi="Arial Bold"/>
          <w:b/>
        </w:rPr>
        <w:t>.</w:t>
      </w:r>
    </w:p>
    <w:p w14:paraId="11BF41CC" w14:textId="77777777" w:rsidR="002A2389" w:rsidRDefault="002A2389" w:rsidP="00912904">
      <w:pPr>
        <w:pStyle w:val="Heading2"/>
      </w:pPr>
      <w:r>
        <w:t>Section 3 - Statutory Officer Clearance</w:t>
      </w:r>
    </w:p>
    <w:p w14:paraId="714BE3DB" w14:textId="093E13BE" w:rsidR="000A58A1" w:rsidRPr="00CA4668" w:rsidRDefault="00941812" w:rsidP="000A58A1">
      <w:pPr>
        <w:keepNext/>
        <w:rPr>
          <w:rFonts w:cs="Arial"/>
          <w:szCs w:val="24"/>
        </w:rPr>
      </w:pPr>
      <w:r w:rsidRPr="00CA4668">
        <w:rPr>
          <w:rFonts w:cs="Arial"/>
          <w:szCs w:val="24"/>
        </w:rPr>
        <w:lastRenderedPageBreak/>
        <w:t xml:space="preserve">This report is </w:t>
      </w:r>
      <w:r w:rsidR="000A58A1" w:rsidRPr="00CA4668">
        <w:rPr>
          <w:rFonts w:cs="Arial"/>
          <w:szCs w:val="24"/>
        </w:rPr>
        <w:t>for information only</w:t>
      </w:r>
      <w:r w:rsidRPr="00CA4668">
        <w:rPr>
          <w:rFonts w:cs="Arial"/>
          <w:szCs w:val="24"/>
        </w:rPr>
        <w:t xml:space="preserve"> and therefore does not require clearance by </w:t>
      </w:r>
      <w:r w:rsidR="00CA4668" w:rsidRPr="00CA4668">
        <w:rPr>
          <w:rFonts w:cs="Arial"/>
          <w:szCs w:val="24"/>
        </w:rPr>
        <w:t>L</w:t>
      </w:r>
      <w:r w:rsidR="000A58A1" w:rsidRPr="00CA4668">
        <w:rPr>
          <w:rFonts w:cs="Arial"/>
          <w:szCs w:val="24"/>
        </w:rPr>
        <w:t>egal</w:t>
      </w:r>
      <w:r w:rsidR="00CA4668" w:rsidRPr="00CA4668">
        <w:rPr>
          <w:rFonts w:cs="Arial"/>
          <w:szCs w:val="24"/>
        </w:rPr>
        <w:t>,</w:t>
      </w:r>
      <w:r w:rsidR="000A58A1" w:rsidRPr="00CA4668">
        <w:rPr>
          <w:rFonts w:cs="Arial"/>
          <w:szCs w:val="24"/>
        </w:rPr>
        <w:t xml:space="preserve"> </w:t>
      </w:r>
      <w:r w:rsidR="00CA4668" w:rsidRPr="00CA4668">
        <w:rPr>
          <w:rFonts w:cs="Arial"/>
          <w:szCs w:val="24"/>
        </w:rPr>
        <w:t>F</w:t>
      </w:r>
      <w:r w:rsidR="000A58A1" w:rsidRPr="00CA4668">
        <w:rPr>
          <w:rFonts w:cs="Arial"/>
          <w:szCs w:val="24"/>
        </w:rPr>
        <w:t xml:space="preserve">inancial </w:t>
      </w:r>
      <w:r w:rsidR="00CA4668" w:rsidRPr="00CA4668">
        <w:rPr>
          <w:rFonts w:cs="Arial"/>
          <w:szCs w:val="24"/>
        </w:rPr>
        <w:t>or a</w:t>
      </w:r>
      <w:r w:rsidR="000A58A1" w:rsidRPr="00CA4668">
        <w:rPr>
          <w:rFonts w:cs="Arial"/>
          <w:szCs w:val="24"/>
        </w:rPr>
        <w:t xml:space="preserve"> Corporate Director</w:t>
      </w:r>
      <w:r w:rsidR="00CA4668" w:rsidRPr="00CA4668">
        <w:rPr>
          <w:rFonts w:cs="Arial"/>
          <w:szCs w:val="24"/>
        </w:rPr>
        <w:t>.</w:t>
      </w:r>
    </w:p>
    <w:p w14:paraId="077143F8" w14:textId="77777777" w:rsidR="002A2389" w:rsidRPr="00CA4668" w:rsidRDefault="002A2389" w:rsidP="008D1750">
      <w:pPr>
        <w:keepNext/>
        <w:rPr>
          <w:rFonts w:cs="Arial"/>
        </w:rPr>
      </w:pPr>
    </w:p>
    <w:p w14:paraId="629F8205" w14:textId="77777777" w:rsidR="002A2389" w:rsidRDefault="002A2389" w:rsidP="00912904">
      <w:pPr>
        <w:pStyle w:val="Heading2"/>
        <w:keepNext/>
        <w:spacing w:after="240"/>
      </w:pPr>
      <w:r>
        <w:t>Section 4 - Contact Details and Background Papers</w:t>
      </w:r>
    </w:p>
    <w:p w14:paraId="1C4BF2D4" w14:textId="3BF813D8" w:rsidR="002A2389" w:rsidRDefault="002A2389">
      <w:pPr>
        <w:pStyle w:val="Infotext"/>
      </w:pPr>
      <w:r w:rsidRPr="00D914D2">
        <w:rPr>
          <w:b/>
        </w:rPr>
        <w:t>Contact:</w:t>
      </w:r>
      <w:r>
        <w:t xml:space="preserve">  </w:t>
      </w:r>
      <w:r w:rsidR="00CA4668">
        <w:t>Susan Dixson, Head of Internal Audit &amp; Corporate Anti-Fraud</w:t>
      </w:r>
    </w:p>
    <w:p w14:paraId="28AF6FE8" w14:textId="061C5D92" w:rsidR="002A2389" w:rsidRDefault="002A2389" w:rsidP="00912904">
      <w:pPr>
        <w:pStyle w:val="Infotext"/>
        <w:spacing w:before="360"/>
      </w:pPr>
      <w:r w:rsidRPr="00D914D2">
        <w:rPr>
          <w:b/>
        </w:rPr>
        <w:t>Background Papers</w:t>
      </w:r>
      <w:r>
        <w:t xml:space="preserve">:  </w:t>
      </w:r>
      <w:r w:rsidR="00CA4668">
        <w:t>None</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1987" w14:textId="77777777" w:rsidR="0097544B" w:rsidRDefault="0097544B">
      <w:r>
        <w:separator/>
      </w:r>
    </w:p>
  </w:endnote>
  <w:endnote w:type="continuationSeparator" w:id="0">
    <w:p w14:paraId="49DD57AD" w14:textId="77777777" w:rsidR="0097544B" w:rsidRDefault="0097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E9CF" w14:textId="77777777" w:rsidR="0097544B" w:rsidRDefault="0097544B">
      <w:r>
        <w:separator/>
      </w:r>
    </w:p>
  </w:footnote>
  <w:footnote w:type="continuationSeparator" w:id="0">
    <w:p w14:paraId="622E6A70" w14:textId="77777777" w:rsidR="0097544B" w:rsidRDefault="00975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C4402"/>
    <w:multiLevelType w:val="hybridMultilevel"/>
    <w:tmpl w:val="9DB4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3"/>
  </w:num>
  <w:num w:numId="10">
    <w:abstractNumId w:val="12"/>
  </w:num>
  <w:num w:numId="11">
    <w:abstractNumId w:val="15"/>
  </w:num>
  <w:num w:numId="12">
    <w:abstractNumId w:val="11"/>
  </w:num>
  <w:num w:numId="13">
    <w:abstractNumId w:val="2"/>
  </w:num>
  <w:num w:numId="14">
    <w:abstractNumId w:val="6"/>
  </w:num>
  <w:num w:numId="15">
    <w:abstractNumId w:val="9"/>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A58A1"/>
    <w:rsid w:val="000A6659"/>
    <w:rsid w:val="000B0E6F"/>
    <w:rsid w:val="000B6DBB"/>
    <w:rsid w:val="000D2BF2"/>
    <w:rsid w:val="000D5870"/>
    <w:rsid w:val="000F65C0"/>
    <w:rsid w:val="001939BA"/>
    <w:rsid w:val="001A6EB0"/>
    <w:rsid w:val="001B441D"/>
    <w:rsid w:val="001C5225"/>
    <w:rsid w:val="001E0219"/>
    <w:rsid w:val="00213BE7"/>
    <w:rsid w:val="00230DD3"/>
    <w:rsid w:val="00231A1D"/>
    <w:rsid w:val="00244120"/>
    <w:rsid w:val="00293F9F"/>
    <w:rsid w:val="002A2389"/>
    <w:rsid w:val="002C08E2"/>
    <w:rsid w:val="002C1794"/>
    <w:rsid w:val="002D2FC5"/>
    <w:rsid w:val="002E6637"/>
    <w:rsid w:val="002E77E3"/>
    <w:rsid w:val="00332947"/>
    <w:rsid w:val="00333EB4"/>
    <w:rsid w:val="00345915"/>
    <w:rsid w:val="00365D29"/>
    <w:rsid w:val="00374F22"/>
    <w:rsid w:val="003804ED"/>
    <w:rsid w:val="003D2FFE"/>
    <w:rsid w:val="003D5F0A"/>
    <w:rsid w:val="00400032"/>
    <w:rsid w:val="0042394B"/>
    <w:rsid w:val="00473B08"/>
    <w:rsid w:val="00474B5F"/>
    <w:rsid w:val="004A3CE6"/>
    <w:rsid w:val="004A4A1D"/>
    <w:rsid w:val="004B2C9D"/>
    <w:rsid w:val="004B4A47"/>
    <w:rsid w:val="004E667D"/>
    <w:rsid w:val="004E6AF9"/>
    <w:rsid w:val="005031DF"/>
    <w:rsid w:val="00597314"/>
    <w:rsid w:val="005A61AF"/>
    <w:rsid w:val="005D0886"/>
    <w:rsid w:val="005E384D"/>
    <w:rsid w:val="005F2181"/>
    <w:rsid w:val="005F724B"/>
    <w:rsid w:val="00606705"/>
    <w:rsid w:val="00625DFF"/>
    <w:rsid w:val="00626D8B"/>
    <w:rsid w:val="0063072B"/>
    <w:rsid w:val="00662891"/>
    <w:rsid w:val="006628B7"/>
    <w:rsid w:val="00675FCB"/>
    <w:rsid w:val="006A0B87"/>
    <w:rsid w:val="006A5CCA"/>
    <w:rsid w:val="006B3942"/>
    <w:rsid w:val="006C3914"/>
    <w:rsid w:val="006C422C"/>
    <w:rsid w:val="006C4D4C"/>
    <w:rsid w:val="006D3648"/>
    <w:rsid w:val="00717E8A"/>
    <w:rsid w:val="0074184E"/>
    <w:rsid w:val="00743829"/>
    <w:rsid w:val="00755F8D"/>
    <w:rsid w:val="007855AE"/>
    <w:rsid w:val="00796503"/>
    <w:rsid w:val="007B0CB6"/>
    <w:rsid w:val="007D2BDA"/>
    <w:rsid w:val="007D56C8"/>
    <w:rsid w:val="007E3934"/>
    <w:rsid w:val="007E7303"/>
    <w:rsid w:val="008212A0"/>
    <w:rsid w:val="00837F53"/>
    <w:rsid w:val="00862DDC"/>
    <w:rsid w:val="008D1750"/>
    <w:rsid w:val="008D7800"/>
    <w:rsid w:val="008E2910"/>
    <w:rsid w:val="008E4913"/>
    <w:rsid w:val="00900464"/>
    <w:rsid w:val="0090100E"/>
    <w:rsid w:val="00912904"/>
    <w:rsid w:val="0093767E"/>
    <w:rsid w:val="00941812"/>
    <w:rsid w:val="00972A02"/>
    <w:rsid w:val="0097544B"/>
    <w:rsid w:val="0099517C"/>
    <w:rsid w:val="009A0937"/>
    <w:rsid w:val="009B2ECD"/>
    <w:rsid w:val="009B7914"/>
    <w:rsid w:val="009F430B"/>
    <w:rsid w:val="00A160B2"/>
    <w:rsid w:val="00A16271"/>
    <w:rsid w:val="00A566E7"/>
    <w:rsid w:val="00A630BF"/>
    <w:rsid w:val="00A73B25"/>
    <w:rsid w:val="00A940D3"/>
    <w:rsid w:val="00A96FCA"/>
    <w:rsid w:val="00AA4BE8"/>
    <w:rsid w:val="00AC0AAB"/>
    <w:rsid w:val="00AC7BA9"/>
    <w:rsid w:val="00B0425E"/>
    <w:rsid w:val="00B72373"/>
    <w:rsid w:val="00B900E2"/>
    <w:rsid w:val="00B9118E"/>
    <w:rsid w:val="00BD6115"/>
    <w:rsid w:val="00BD684A"/>
    <w:rsid w:val="00C32DAE"/>
    <w:rsid w:val="00C40228"/>
    <w:rsid w:val="00C40E24"/>
    <w:rsid w:val="00C61B80"/>
    <w:rsid w:val="00C92D9A"/>
    <w:rsid w:val="00C96EF5"/>
    <w:rsid w:val="00CA4668"/>
    <w:rsid w:val="00D00A2D"/>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F2F91"/>
    <w:rsid w:val="00F33EE3"/>
    <w:rsid w:val="00F4213B"/>
    <w:rsid w:val="00F806B8"/>
    <w:rsid w:val="00F849ED"/>
    <w:rsid w:val="00F92398"/>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12">
    <w:name w:val="Pa12"/>
    <w:basedOn w:val="Normal"/>
    <w:next w:val="Normal"/>
    <w:uiPriority w:val="99"/>
    <w:rsid w:val="006C422C"/>
    <w:pPr>
      <w:autoSpaceDE w:val="0"/>
      <w:autoSpaceDN w:val="0"/>
      <w:adjustRightInd w:val="0"/>
      <w:spacing w:line="231" w:lineRule="atLeast"/>
    </w:pPr>
    <w:rPr>
      <w:rFonts w:ascii="FS Lola" w:eastAsia="Calibri" w:hAnsi="FS Lol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FE060-111E-4D12-B456-B043408F24EC}">
  <ds:schemaRefs>
    <ds:schemaRef ds:uri="http://purl.org/dc/dcmitype/"/>
    <ds:schemaRef ds:uri="http://schemas.microsoft.com/office/infopath/2007/PartnerControls"/>
    <ds:schemaRef ds:uri="48fdd5af-7127-4349-9ef8-8ec3aedfe79a"/>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FE626AE-FB49-42ED-A20F-99E0CCFA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608</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Susan Dixson</cp:lastModifiedBy>
  <cp:revision>3</cp:revision>
  <cp:lastPrinted>2007-07-12T09:53:00Z</cp:lastPrinted>
  <dcterms:created xsi:type="dcterms:W3CDTF">2022-07-22T14:20:00Z</dcterms:created>
  <dcterms:modified xsi:type="dcterms:W3CDTF">2022-07-22T15:25:00Z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